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B55B16">
        <w:rPr>
          <w:rFonts w:ascii="Times New Roman" w:hAnsi="Times New Roman" w:cs="Times New Roman"/>
          <w:b/>
          <w:sz w:val="36"/>
          <w:szCs w:val="36"/>
        </w:rPr>
        <w:t>4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DF2004">
        <w:rPr>
          <w:rFonts w:ascii="Times New Roman" w:hAnsi="Times New Roman" w:cs="Times New Roman"/>
          <w:sz w:val="28"/>
          <w:szCs w:val="28"/>
        </w:rPr>
        <w:t>27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535947">
        <w:rPr>
          <w:rFonts w:ascii="Times New Roman" w:hAnsi="Times New Roman" w:cs="Times New Roman"/>
          <w:sz w:val="28"/>
          <w:szCs w:val="28"/>
        </w:rPr>
        <w:t>16:0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2A56B0" w:rsidRDefault="00735C3F" w:rsidP="002A56B0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Постъпила жалба от Димо Стоянов срещу действията на СИК №202400011,12,13,14</w:t>
      </w:r>
    </w:p>
    <w:p w:rsidR="002A56B0" w:rsidRDefault="002A56B0" w:rsidP="002A56B0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6B0">
        <w:rPr>
          <w:sz w:val="28"/>
          <w:szCs w:val="28"/>
        </w:rPr>
        <w:t>Упълномощаване на членове на ОИК – Твърдица за предаване  на 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25 октомври 2015 г. на територията на община Твърдица.</w:t>
      </w:r>
    </w:p>
    <w:p w:rsidR="002A1DD2" w:rsidRPr="002A1DD2" w:rsidRDefault="002A1DD2" w:rsidP="002A1DD2">
      <w:pPr>
        <w:pStyle w:val="ab"/>
        <w:numPr>
          <w:ilvl w:val="0"/>
          <w:numId w:val="4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DD2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Упълномощаване на членове на ОИК – Твърдица за получаване на хартиени бюлетини за провеждането на втори тур избори, насрочени за 01.10.2015 год. Във връзка с Решение на ЦИК № 2260-МИ от 18.09.2015 г. и № 2363-МИ от 26.09.2015 г., с което следва да бъдат определени двама упълномощени членове на ОИК – Твърдица за получаване на отпечатаните хартиени бюлетини за произвеждане на втори тур избори, насрочени за 01.10.2015 год.от съответната печатница и които ще подпишат приемно – предавателните протоколи.</w:t>
      </w:r>
    </w:p>
    <w:p w:rsidR="002A1DD2" w:rsidRDefault="002A1DD2" w:rsidP="002A1DD2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2A56B0" w:rsidRPr="009463BF" w:rsidRDefault="002A56B0" w:rsidP="002A56B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Чотов, Димитър Добрев, Анета Атанасова-Стоянова, Йорданка Кирова, Даниела Боярова-Димитрова, Стефан Азманов,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DFC">
        <w:rPr>
          <w:rFonts w:ascii="Times New Roman" w:hAnsi="Times New Roman" w:cs="Times New Roman"/>
          <w:sz w:val="26"/>
          <w:szCs w:val="26"/>
        </w:rPr>
        <w:lastRenderedPageBreak/>
        <w:t>В Общинската избирателна комисия</w:t>
      </w:r>
      <w:r w:rsidRPr="00FE5D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E5DFC">
        <w:rPr>
          <w:rFonts w:ascii="Times New Roman" w:hAnsi="Times New Roman" w:cs="Times New Roman"/>
          <w:sz w:val="26"/>
          <w:szCs w:val="26"/>
        </w:rPr>
        <w:t>–</w:t>
      </w:r>
      <w:r w:rsidRPr="00FE5D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E5DFC">
        <w:rPr>
          <w:rFonts w:ascii="Times New Roman" w:hAnsi="Times New Roman" w:cs="Times New Roman"/>
          <w:sz w:val="26"/>
          <w:szCs w:val="26"/>
        </w:rPr>
        <w:t>гр.Твърдица на дата 27.10.2015 год. в 10:50 часа е постъпила жалба от Димо Стоянов срещу действията на СИК №202400011,12,13,14. Същата е  заведена във входящия регистър на Комисията с Вх. № 179/27.10.2015 г в 10:50 часа. В жалбата е записано следното: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 xml:space="preserve"> „В една от секциите е отчетена за невалидна бюлетина, която е била откъсната леко в долния ъгъл, при вземане на отрязъка, което не е по вина на избирател. Както и за това че в поне, една от секциите за валидност или не на бюлетини, решението се е взело само от едно лице, а не от членове на комисията, или нейния председател. Поради това, смятам че така е нарушен изборния процес и се опорочава изборния резултат. В следствие на което съм ощетен при взетото крайно решение. Моля да се преразгледат отчетените за невалидни бюлетини, в посочените по горе секции, находящи се в гр. Шивачево.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>Във връзка с горното, моля да упражните правомощието си  на основание чл. 87, ал. 1, т. 22 от Изборния кодекс, като установите нарушението на изборния процес.”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>След разискване по жалбата ОИК-Твърдица констатира следното: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>1.Жалбата е подадена от лице, което не упоменава в жалбата си в качеството си на какъв е ощетен при взетото решение на незнайно коя точно СИК от четирите изброени. При проверка на регистрите в ОИК-Твърдица се оказа, че лицето подало жалбата с имена Димо Стоянов и с ЕГН**********, е регистрирано като кандидат за кмет на гр.Шивачево от ПП „Движение 21”.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>2.В правомощията на СИК е да се произнася по жалби и сигнали за нарушения на изборния кодекс в изборния ден, по които се произнася незабавно – чл.100 ал.1 т.6 от ИК.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>3.Право на наблюдателите е да подават жалби за нарушаване на ИК – чл.114 ал.1 т.10 от ИК.</w:t>
      </w:r>
    </w:p>
    <w:p w:rsidR="00086112" w:rsidRPr="00FE5DFC" w:rsidRDefault="00086112" w:rsidP="0008611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>4.Право на представителите на партии и коалиции и инициативни комитети е да подават жалби за нарушаване на ИК – чл.126 ал.1 т.6 от ИК.</w:t>
      </w:r>
    </w:p>
    <w:p w:rsidR="00086112" w:rsidRPr="00FE5DFC" w:rsidRDefault="00086112" w:rsidP="00086112">
      <w:pPr>
        <w:jc w:val="both"/>
        <w:rPr>
          <w:rFonts w:ascii="Times New Roman" w:hAnsi="Times New Roman" w:cs="Times New Roman"/>
          <w:sz w:val="27"/>
          <w:szCs w:val="27"/>
        </w:rPr>
      </w:pPr>
      <w:r w:rsidRPr="00FE5DFC">
        <w:rPr>
          <w:rFonts w:ascii="Times New Roman" w:hAnsi="Times New Roman" w:cs="Times New Roman"/>
          <w:sz w:val="27"/>
          <w:szCs w:val="27"/>
        </w:rPr>
        <w:t xml:space="preserve">          5.Право на кандидатите  за общински съветник или кмет, партиите, коалициите и лицето, което представлява инициативния комитет, </w:t>
      </w:r>
    </w:p>
    <w:p w:rsidR="00086112" w:rsidRDefault="00086112" w:rsidP="00086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112" w:rsidRDefault="00086112" w:rsidP="00086112">
      <w:pPr>
        <w:jc w:val="both"/>
        <w:rPr>
          <w:rFonts w:ascii="Times New Roman" w:hAnsi="Times New Roman" w:cs="Times New Roman"/>
          <w:sz w:val="28"/>
          <w:szCs w:val="28"/>
        </w:rPr>
      </w:pPr>
      <w:r w:rsidRPr="00747BEE">
        <w:rPr>
          <w:rFonts w:ascii="Times New Roman" w:hAnsi="Times New Roman" w:cs="Times New Roman"/>
          <w:sz w:val="28"/>
          <w:szCs w:val="28"/>
        </w:rPr>
        <w:t xml:space="preserve">регистрирали кандидати за съответния вид избор, </w:t>
      </w:r>
      <w:r>
        <w:rPr>
          <w:rFonts w:ascii="Times New Roman" w:hAnsi="Times New Roman" w:cs="Times New Roman"/>
          <w:sz w:val="28"/>
          <w:szCs w:val="28"/>
        </w:rPr>
        <w:t xml:space="preserve">е да </w:t>
      </w:r>
      <w:r w:rsidRPr="00747BEE">
        <w:rPr>
          <w:rFonts w:ascii="Times New Roman" w:hAnsi="Times New Roman" w:cs="Times New Roman"/>
          <w:sz w:val="28"/>
          <w:szCs w:val="28"/>
        </w:rPr>
        <w:t xml:space="preserve">може да обжалват решението на общинската избирателна комисия за определяне на резултатите </w:t>
      </w:r>
      <w:r w:rsidRPr="00D35166">
        <w:rPr>
          <w:rFonts w:ascii="Times New Roman" w:hAnsi="Times New Roman" w:cs="Times New Roman"/>
          <w:sz w:val="28"/>
          <w:szCs w:val="28"/>
        </w:rPr>
        <w:t xml:space="preserve">от </w:t>
      </w:r>
      <w:r w:rsidRPr="00D35166">
        <w:rPr>
          <w:rFonts w:ascii="Times New Roman" w:hAnsi="Times New Roman" w:cs="Times New Roman"/>
          <w:sz w:val="28"/>
          <w:szCs w:val="28"/>
        </w:rPr>
        <w:lastRenderedPageBreak/>
        <w:t>изборите пред съответния административен съд в 7-дневен срок от обявяването на решението – чл.</w:t>
      </w:r>
      <w:r>
        <w:rPr>
          <w:rFonts w:ascii="Times New Roman" w:hAnsi="Times New Roman" w:cs="Times New Roman"/>
          <w:sz w:val="28"/>
          <w:szCs w:val="28"/>
        </w:rPr>
        <w:t>459 ал.1</w:t>
      </w:r>
      <w:r w:rsidRPr="00D35166">
        <w:rPr>
          <w:rFonts w:ascii="Times New Roman" w:hAnsi="Times New Roman" w:cs="Times New Roman"/>
          <w:sz w:val="28"/>
          <w:szCs w:val="28"/>
        </w:rPr>
        <w:t xml:space="preserve"> от 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12" w:rsidRPr="00D35166" w:rsidRDefault="00086112" w:rsidP="00086112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жалбата няма цитирано решение на ОИК-Твърдица, което конкретно се обжалва.</w:t>
      </w:r>
    </w:p>
    <w:p w:rsidR="00086112" w:rsidRDefault="00086112" w:rsidP="00086112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 отношение на </w:t>
      </w:r>
      <w:r w:rsidRPr="00D35166">
        <w:rPr>
          <w:rFonts w:ascii="Times New Roman" w:hAnsi="Times New Roman" w:cs="Times New Roman"/>
          <w:sz w:val="28"/>
          <w:szCs w:val="28"/>
        </w:rPr>
        <w:t xml:space="preserve"> цитирания </w:t>
      </w:r>
      <w:r>
        <w:rPr>
          <w:rFonts w:ascii="Times New Roman" w:hAnsi="Times New Roman" w:cs="Times New Roman"/>
          <w:sz w:val="28"/>
          <w:szCs w:val="28"/>
        </w:rPr>
        <w:t xml:space="preserve">в жалбата чл.87 ал.1 т.22 от ИК, ОИК </w:t>
      </w:r>
      <w:r w:rsidRPr="00D35166">
        <w:rPr>
          <w:rFonts w:ascii="Times New Roman" w:hAnsi="Times New Roman" w:cs="Times New Roman"/>
          <w:sz w:val="28"/>
          <w:szCs w:val="28"/>
        </w:rPr>
        <w:t>разглежда всички жалби и сигнали за нарушения на изборния процес в съответствие с правомощията си, включително срещу решения и действия на секционните избирателни комисии; в изборния ден се произнася с решение до един час от постъпване на жалбата или сигнала и преди кра</w:t>
      </w:r>
      <w:r>
        <w:rPr>
          <w:rFonts w:ascii="Times New Roman" w:hAnsi="Times New Roman" w:cs="Times New Roman"/>
          <w:sz w:val="28"/>
          <w:szCs w:val="28"/>
        </w:rPr>
        <w:t>я на изборния ден, ОИК не констатира подадена  жалба в протоколите на СИК с номера 202400011, 202400012, 202400013 и 202400014, нито е получавала такава в изборния ден.</w:t>
      </w:r>
    </w:p>
    <w:p w:rsidR="00086112" w:rsidRDefault="00086112" w:rsidP="00086112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8.Жалбата е адресирана до ОИК-Твърдица, а не до Административен съд чрез ОИК-Твърдица съгласно </w:t>
      </w:r>
      <w:r w:rsidRPr="00D35166">
        <w:rPr>
          <w:rFonts w:ascii="Times New Roman" w:hAnsi="Times New Roman" w:cs="Times New Roman"/>
          <w:sz w:val="28"/>
          <w:szCs w:val="28"/>
        </w:rPr>
        <w:t>чл.</w:t>
      </w:r>
      <w:r>
        <w:rPr>
          <w:rFonts w:ascii="Times New Roman" w:hAnsi="Times New Roman" w:cs="Times New Roman"/>
          <w:sz w:val="28"/>
          <w:szCs w:val="28"/>
        </w:rPr>
        <w:t xml:space="preserve">459 </w:t>
      </w:r>
      <w:r w:rsidRPr="00D35166">
        <w:rPr>
          <w:rFonts w:ascii="Times New Roman" w:hAnsi="Times New Roman" w:cs="Times New Roman"/>
          <w:sz w:val="28"/>
          <w:szCs w:val="28"/>
        </w:rPr>
        <w:t>ал.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5166">
        <w:rPr>
          <w:rFonts w:ascii="Times New Roman" w:hAnsi="Times New Roman" w:cs="Times New Roman"/>
          <w:sz w:val="28"/>
          <w:szCs w:val="28"/>
        </w:rPr>
        <w:t xml:space="preserve"> от ИК.</w:t>
      </w:r>
    </w:p>
    <w:p w:rsidR="00086112" w:rsidRDefault="00086112" w:rsidP="00086112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923006">
        <w:rPr>
          <w:sz w:val="28"/>
          <w:szCs w:val="28"/>
        </w:rPr>
        <w:t>Предвид гореизложеното, както и на основание  чл. 87, ал. 1, т. 1 от Изборния кодекс, ОИК – гр. Твърдица</w:t>
      </w:r>
      <w:r>
        <w:rPr>
          <w:sz w:val="28"/>
          <w:szCs w:val="28"/>
        </w:rPr>
        <w:t xml:space="preserve"> </w:t>
      </w:r>
    </w:p>
    <w:p w:rsidR="00086112" w:rsidRPr="00A30DDB" w:rsidRDefault="00086112" w:rsidP="00086112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</w:p>
    <w:p w:rsidR="00086112" w:rsidRDefault="00086112" w:rsidP="00086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</w:t>
      </w:r>
    </w:p>
    <w:p w:rsidR="00086112" w:rsidRPr="00D35166" w:rsidRDefault="00086112" w:rsidP="00086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2" w:rsidRPr="00923006" w:rsidRDefault="00086112" w:rsidP="0008611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23006">
        <w:rPr>
          <w:sz w:val="28"/>
          <w:szCs w:val="28"/>
        </w:rPr>
        <w:t>ОСТАВЯ БЕЗ УВАЖЕНИЕ </w:t>
      </w:r>
      <w:r>
        <w:rPr>
          <w:sz w:val="28"/>
          <w:szCs w:val="28"/>
        </w:rPr>
        <w:t xml:space="preserve"> жалба  с Вх.  №179 / 27</w:t>
      </w:r>
      <w:r w:rsidRPr="00923006">
        <w:rPr>
          <w:sz w:val="28"/>
          <w:szCs w:val="28"/>
        </w:rPr>
        <w:t>.10.20</w:t>
      </w:r>
      <w:r>
        <w:rPr>
          <w:sz w:val="28"/>
          <w:szCs w:val="28"/>
        </w:rPr>
        <w:t>15 г .</w:t>
      </w:r>
    </w:p>
    <w:p w:rsidR="00086112" w:rsidRPr="00B24385" w:rsidRDefault="00086112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Pr="004A2E82" w:rsidRDefault="00535947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A56B0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A56B0" w:rsidRPr="007560DC" w:rsidRDefault="002A56B0" w:rsidP="002A56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лномощаване на членове на ОИК – 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25 октомври 2015 г. на територията на община Твърдица.</w:t>
      </w:r>
    </w:p>
    <w:p w:rsidR="002A56B0" w:rsidRPr="007560DC" w:rsidRDefault="002A56B0" w:rsidP="002A56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Решение на ЦИК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2662 – МИ – НР  от 18.10.2015 г.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което следва да бъдат определени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трима упълномощени членове на ОИК – 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9A5B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25 октомври 2015 г. на територията на община 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и които ще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2A56B0" w:rsidRDefault="002A56B0" w:rsidP="002A56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Предложени 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Даниела Денева Боярова – Димитрова,  Милена Стоилова Димитрова и Радка Иванова Михова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бъдат упълномощени за 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25 октомври 2015 г. на територията на община Твърдица.</w:t>
      </w:r>
    </w:p>
    <w:p w:rsidR="00EB2D8F" w:rsidRPr="009A5B0E" w:rsidRDefault="00EB2D8F" w:rsidP="002A56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56B0" w:rsidRDefault="002A56B0" w:rsidP="002A56B0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</w:p>
    <w:p w:rsidR="00EB2D8F" w:rsidRPr="00390910" w:rsidRDefault="00EB2D8F" w:rsidP="002A56B0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A56B0" w:rsidRDefault="002A56B0" w:rsidP="002A56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УПЪЛНОМОЩАВА</w:t>
      </w:r>
      <w:r w:rsidRPr="003A43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A43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Даниела Денева Боярова – Димитрова,  Милена Стоилова Димитрова и Радка Иванова Михова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25 октомври 2015 г. на територията на община Твърдица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2A1DD2" w:rsidRDefault="002A1DD2" w:rsidP="002A56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1DD2" w:rsidRDefault="002A1DD2" w:rsidP="002A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A1DD2" w:rsidRDefault="002A1DD2" w:rsidP="002A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D2" w:rsidRPr="007560DC" w:rsidRDefault="002A1DD2" w:rsidP="002A1D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лномощаване на членове на ОИК – 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получаване на хартиени бюлетини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провеждането на втори тур избори, насрочени за 01.10.2015 год.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Решение на ЦИК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2260-МИ от 18.09.2015 г. и № 23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63-МИ от 26.09.2015 г., с което следва да бъдат определени двама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упълномощени членове на ОИК – 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получаване на отпечатаните хартиени бюлетини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произвеждане на втори тур избори, насрочени за 01.10.2015 год.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съответната печатница и които ще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2A1DD2" w:rsidRPr="007560DC" w:rsidRDefault="002A1DD2" w:rsidP="002A1D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 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Даниела Денева Боярова – Димитрова и Даниела Дойчева Георгиева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бъдат упълномощени да получат отпечатаните хартиени бюлетини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произвеждане на втори тур избори, насрочени за 01.10.2015 год.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съответната печатница, съпроводят транспортното средство, което ги превозва до Областна администрация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Сливен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2A1DD2" w:rsidRPr="00390910" w:rsidRDefault="002A1DD2" w:rsidP="002A1D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ал.1, т.1  от ИК, комисията</w:t>
      </w:r>
    </w:p>
    <w:p w:rsidR="002A1DD2" w:rsidRDefault="002A1DD2" w:rsidP="002A1DD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A1DD2" w:rsidRDefault="002A1DD2" w:rsidP="002A1DD2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F5F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2A1DD2" w:rsidRPr="00390910" w:rsidRDefault="002A1DD2" w:rsidP="002A1DD2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B1DEB" w:rsidRPr="002A1DD2" w:rsidRDefault="002A1DD2" w:rsidP="002A1D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УПЪЛНОМОЩАВА 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A1A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Даниела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Денева </w:t>
      </w:r>
      <w:r w:rsidRPr="007A1A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Боярова – Димитрова и </w:t>
      </w:r>
      <w:r w:rsidRPr="003A10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Даниела Дойчева Георгиева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получат отпечатаните хартиени бюлетини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произвеждане на втори тур избори, насрочени за 01.10.2015 год.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съответната печатница, съпроводят транспортното средство, което ги превозва до Областна администрация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Сливен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2A1DD2">
        <w:rPr>
          <w:b/>
          <w:sz w:val="28"/>
          <w:szCs w:val="28"/>
        </w:rPr>
        <w:t xml:space="preserve"> в 18</w:t>
      </w:r>
      <w:r w:rsidR="00CA53D4">
        <w:rPr>
          <w:b/>
          <w:sz w:val="28"/>
          <w:szCs w:val="28"/>
        </w:rPr>
        <w:t>:3</w:t>
      </w:r>
      <w:r w:rsidR="00B24385">
        <w:rPr>
          <w:b/>
          <w:sz w:val="28"/>
          <w:szCs w:val="28"/>
        </w:rPr>
        <w:t>0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Цони Чотов</w:t>
      </w:r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Даниела Боярова-Димитрова</w:t>
      </w:r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Стефан 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C3" w:rsidRDefault="002358C3" w:rsidP="00101825">
      <w:pPr>
        <w:spacing w:after="0" w:line="240" w:lineRule="auto"/>
      </w:pPr>
      <w:r>
        <w:separator/>
      </w:r>
    </w:p>
  </w:endnote>
  <w:endnote w:type="continuationSeparator" w:id="0">
    <w:p w:rsidR="002358C3" w:rsidRDefault="002358C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C3" w:rsidRDefault="002358C3" w:rsidP="00101825">
      <w:pPr>
        <w:spacing w:after="0" w:line="240" w:lineRule="auto"/>
      </w:pPr>
      <w:r>
        <w:separator/>
      </w:r>
    </w:p>
  </w:footnote>
  <w:footnote w:type="continuationSeparator" w:id="0">
    <w:p w:rsidR="002358C3" w:rsidRDefault="002358C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DCE"/>
    <w:multiLevelType w:val="hybridMultilevel"/>
    <w:tmpl w:val="3EE8C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E066D3"/>
    <w:multiLevelType w:val="hybridMultilevel"/>
    <w:tmpl w:val="21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C6D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46BD"/>
    <w:multiLevelType w:val="hybridMultilevel"/>
    <w:tmpl w:val="7F2AD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52920"/>
    <w:multiLevelType w:val="hybridMultilevel"/>
    <w:tmpl w:val="0FE6656A"/>
    <w:lvl w:ilvl="0" w:tplc="502AE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C75E3"/>
    <w:multiLevelType w:val="hybridMultilevel"/>
    <w:tmpl w:val="0AF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C26D7"/>
    <w:multiLevelType w:val="hybridMultilevel"/>
    <w:tmpl w:val="0396E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47CE3"/>
    <w:multiLevelType w:val="hybridMultilevel"/>
    <w:tmpl w:val="9766B2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26719"/>
    <w:multiLevelType w:val="hybridMultilevel"/>
    <w:tmpl w:val="98D46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2F6A0F"/>
    <w:multiLevelType w:val="hybridMultilevel"/>
    <w:tmpl w:val="C20AA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67E7E"/>
    <w:multiLevelType w:val="hybridMultilevel"/>
    <w:tmpl w:val="55367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44E5A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115BB"/>
    <w:multiLevelType w:val="hybridMultilevel"/>
    <w:tmpl w:val="E1087CC6"/>
    <w:lvl w:ilvl="0" w:tplc="005AC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47C64C94"/>
    <w:multiLevelType w:val="hybridMultilevel"/>
    <w:tmpl w:val="D47A0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84010F"/>
    <w:multiLevelType w:val="hybridMultilevel"/>
    <w:tmpl w:val="1362E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3040A"/>
    <w:multiLevelType w:val="hybridMultilevel"/>
    <w:tmpl w:val="7C568A08"/>
    <w:lvl w:ilvl="0" w:tplc="778219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80923"/>
    <w:multiLevelType w:val="hybridMultilevel"/>
    <w:tmpl w:val="7E24B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B62EA"/>
    <w:multiLevelType w:val="hybridMultilevel"/>
    <w:tmpl w:val="6410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7774F"/>
    <w:multiLevelType w:val="hybridMultilevel"/>
    <w:tmpl w:val="82B4B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F452A"/>
    <w:multiLevelType w:val="hybridMultilevel"/>
    <w:tmpl w:val="F4C258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200A7"/>
    <w:multiLevelType w:val="hybridMultilevel"/>
    <w:tmpl w:val="36AE3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E6691"/>
    <w:multiLevelType w:val="multilevel"/>
    <w:tmpl w:val="4F7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10"/>
  </w:num>
  <w:num w:numId="4">
    <w:abstractNumId w:val="3"/>
  </w:num>
  <w:num w:numId="5">
    <w:abstractNumId w:val="6"/>
  </w:num>
  <w:num w:numId="6">
    <w:abstractNumId w:val="25"/>
  </w:num>
  <w:num w:numId="7">
    <w:abstractNumId w:val="33"/>
  </w:num>
  <w:num w:numId="8">
    <w:abstractNumId w:val="26"/>
  </w:num>
  <w:num w:numId="9">
    <w:abstractNumId w:val="35"/>
  </w:num>
  <w:num w:numId="10">
    <w:abstractNumId w:val="22"/>
  </w:num>
  <w:num w:numId="11">
    <w:abstractNumId w:val="13"/>
  </w:num>
  <w:num w:numId="12">
    <w:abstractNumId w:val="19"/>
  </w:num>
  <w:num w:numId="13">
    <w:abstractNumId w:val="12"/>
  </w:num>
  <w:num w:numId="14">
    <w:abstractNumId w:val="1"/>
  </w:num>
  <w:num w:numId="15">
    <w:abstractNumId w:val="14"/>
  </w:num>
  <w:num w:numId="16">
    <w:abstractNumId w:val="40"/>
  </w:num>
  <w:num w:numId="17">
    <w:abstractNumId w:val="0"/>
  </w:num>
  <w:num w:numId="18">
    <w:abstractNumId w:val="34"/>
  </w:num>
  <w:num w:numId="19">
    <w:abstractNumId w:val="31"/>
  </w:num>
  <w:num w:numId="20">
    <w:abstractNumId w:val="16"/>
  </w:num>
  <w:num w:numId="21">
    <w:abstractNumId w:val="43"/>
  </w:num>
  <w:num w:numId="22">
    <w:abstractNumId w:val="17"/>
  </w:num>
  <w:num w:numId="23">
    <w:abstractNumId w:val="18"/>
  </w:num>
  <w:num w:numId="24">
    <w:abstractNumId w:val="11"/>
  </w:num>
  <w:num w:numId="25">
    <w:abstractNumId w:val="36"/>
  </w:num>
  <w:num w:numId="26">
    <w:abstractNumId w:val="4"/>
  </w:num>
  <w:num w:numId="27">
    <w:abstractNumId w:val="38"/>
  </w:num>
  <w:num w:numId="28">
    <w:abstractNumId w:val="37"/>
  </w:num>
  <w:num w:numId="29">
    <w:abstractNumId w:val="23"/>
  </w:num>
  <w:num w:numId="30">
    <w:abstractNumId w:val="5"/>
  </w:num>
  <w:num w:numId="31">
    <w:abstractNumId w:val="2"/>
  </w:num>
  <w:num w:numId="32">
    <w:abstractNumId w:val="24"/>
  </w:num>
  <w:num w:numId="33">
    <w:abstractNumId w:val="9"/>
  </w:num>
  <w:num w:numId="34">
    <w:abstractNumId w:val="27"/>
  </w:num>
  <w:num w:numId="35">
    <w:abstractNumId w:val="42"/>
  </w:num>
  <w:num w:numId="36">
    <w:abstractNumId w:val="20"/>
  </w:num>
  <w:num w:numId="37">
    <w:abstractNumId w:val="29"/>
  </w:num>
  <w:num w:numId="38">
    <w:abstractNumId w:val="44"/>
  </w:num>
  <w:num w:numId="39">
    <w:abstractNumId w:val="21"/>
  </w:num>
  <w:num w:numId="40">
    <w:abstractNumId w:val="41"/>
  </w:num>
  <w:num w:numId="41">
    <w:abstractNumId w:val="15"/>
  </w:num>
  <w:num w:numId="42">
    <w:abstractNumId w:val="30"/>
  </w:num>
  <w:num w:numId="43">
    <w:abstractNumId w:val="8"/>
  </w:num>
  <w:num w:numId="44">
    <w:abstractNumId w:val="32"/>
  </w:num>
  <w:num w:numId="4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41F47"/>
    <w:rsid w:val="0005755F"/>
    <w:rsid w:val="00066898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648C"/>
    <w:rsid w:val="001B60C3"/>
    <w:rsid w:val="001B7028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65C7"/>
    <w:rsid w:val="003C66EB"/>
    <w:rsid w:val="003D090A"/>
    <w:rsid w:val="003D1F05"/>
    <w:rsid w:val="003D26D6"/>
    <w:rsid w:val="003D2909"/>
    <w:rsid w:val="003E1688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560A1"/>
    <w:rsid w:val="00462EF8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205A6"/>
    <w:rsid w:val="00522470"/>
    <w:rsid w:val="0052298C"/>
    <w:rsid w:val="00525161"/>
    <w:rsid w:val="00535947"/>
    <w:rsid w:val="005369D3"/>
    <w:rsid w:val="00540B70"/>
    <w:rsid w:val="0055136B"/>
    <w:rsid w:val="00551C87"/>
    <w:rsid w:val="00556CCF"/>
    <w:rsid w:val="005638E7"/>
    <w:rsid w:val="00565E38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3E53"/>
    <w:rsid w:val="007E3F56"/>
    <w:rsid w:val="007E48FB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463BF"/>
    <w:rsid w:val="00951065"/>
    <w:rsid w:val="00952756"/>
    <w:rsid w:val="009533B7"/>
    <w:rsid w:val="00954264"/>
    <w:rsid w:val="00954B0A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3410"/>
    <w:rsid w:val="00A46C75"/>
    <w:rsid w:val="00A57255"/>
    <w:rsid w:val="00A60995"/>
    <w:rsid w:val="00A6108A"/>
    <w:rsid w:val="00A70FAB"/>
    <w:rsid w:val="00A7164F"/>
    <w:rsid w:val="00A7397E"/>
    <w:rsid w:val="00A75E12"/>
    <w:rsid w:val="00A765BC"/>
    <w:rsid w:val="00A83BF0"/>
    <w:rsid w:val="00A94BD5"/>
    <w:rsid w:val="00A95786"/>
    <w:rsid w:val="00A960F5"/>
    <w:rsid w:val="00AB3FA3"/>
    <w:rsid w:val="00AD0547"/>
    <w:rsid w:val="00AD13BC"/>
    <w:rsid w:val="00AD300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0F96"/>
    <w:rsid w:val="00B41C61"/>
    <w:rsid w:val="00B439C4"/>
    <w:rsid w:val="00B44397"/>
    <w:rsid w:val="00B47A5A"/>
    <w:rsid w:val="00B55810"/>
    <w:rsid w:val="00B55B16"/>
    <w:rsid w:val="00B60D66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428D8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2A83"/>
    <w:rsid w:val="00CB45FD"/>
    <w:rsid w:val="00CB493A"/>
    <w:rsid w:val="00CB5AAF"/>
    <w:rsid w:val="00CC2E90"/>
    <w:rsid w:val="00CD217B"/>
    <w:rsid w:val="00CD3832"/>
    <w:rsid w:val="00CD45A6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7231F"/>
    <w:rsid w:val="00D803BD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6104F"/>
    <w:rsid w:val="00E65E42"/>
    <w:rsid w:val="00E726A3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53B8"/>
    <w:rsid w:val="00ED574B"/>
    <w:rsid w:val="00EE0646"/>
    <w:rsid w:val="00EE691C"/>
    <w:rsid w:val="00EF00DA"/>
    <w:rsid w:val="00EF118F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38EF"/>
    <w:rsid w:val="00FB0DD2"/>
    <w:rsid w:val="00FB1DEB"/>
    <w:rsid w:val="00FB6E68"/>
    <w:rsid w:val="00FB7217"/>
    <w:rsid w:val="00FC6921"/>
    <w:rsid w:val="00FC709B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D1F3-3ACA-4E79-A91A-AFC3A78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222</cp:revision>
  <cp:lastPrinted>2015-10-24T12:09:00Z</cp:lastPrinted>
  <dcterms:created xsi:type="dcterms:W3CDTF">2015-09-20T06:15:00Z</dcterms:created>
  <dcterms:modified xsi:type="dcterms:W3CDTF">2015-10-27T19:27:00Z</dcterms:modified>
</cp:coreProperties>
</file>